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A625" w14:textId="1D3780AC" w:rsidR="001A7D51" w:rsidRPr="00C4123B" w:rsidRDefault="001E5B05" w:rsidP="00BF70CE">
      <w:pPr>
        <w:spacing w:after="0" w:line="240" w:lineRule="auto"/>
        <w:jc w:val="center"/>
        <w:rPr>
          <w:rStyle w:val="preformatted"/>
          <w:b/>
          <w:sz w:val="28"/>
          <w:szCs w:val="28"/>
        </w:rPr>
      </w:pPr>
      <w:r w:rsidRPr="001E5B05">
        <w:rPr>
          <w:b/>
          <w:sz w:val="28"/>
          <w:szCs w:val="28"/>
        </w:rPr>
        <w:t>TRIMILL, a.s.</w:t>
      </w:r>
    </w:p>
    <w:p w14:paraId="7EEBB1B4" w14:textId="59459DD4" w:rsidR="00A16C4D" w:rsidRPr="00C4123B" w:rsidRDefault="001E5B05" w:rsidP="00BF70CE">
      <w:pPr>
        <w:pBdr>
          <w:bottom w:val="single" w:sz="6" w:space="1" w:color="auto"/>
        </w:pBdr>
        <w:spacing w:after="0" w:line="240" w:lineRule="auto"/>
        <w:jc w:val="center"/>
        <w:rPr>
          <w:rStyle w:val="nowrap"/>
          <w:sz w:val="24"/>
          <w:szCs w:val="24"/>
        </w:rPr>
      </w:pPr>
      <w:r w:rsidRPr="001E5B05">
        <w:rPr>
          <w:sz w:val="24"/>
          <w:szCs w:val="24"/>
        </w:rPr>
        <w:t>Jasenice 2061, 755 01 Vsetín</w:t>
      </w:r>
      <w:r w:rsidR="00A16C4D" w:rsidRPr="00C4123B">
        <w:rPr>
          <w:sz w:val="24"/>
          <w:szCs w:val="24"/>
        </w:rPr>
        <w:t xml:space="preserve">, IČ </w:t>
      </w:r>
      <w:r w:rsidRPr="001E5B05">
        <w:rPr>
          <w:sz w:val="24"/>
          <w:szCs w:val="24"/>
        </w:rPr>
        <w:t>25598325</w:t>
      </w:r>
    </w:p>
    <w:p w14:paraId="330D510C" w14:textId="77777777" w:rsidR="00A16C4D" w:rsidRDefault="00A16C4D" w:rsidP="00BF70CE">
      <w:pPr>
        <w:spacing w:after="0" w:line="240" w:lineRule="auto"/>
        <w:jc w:val="center"/>
        <w:rPr>
          <w:rStyle w:val="nowrap"/>
          <w:sz w:val="24"/>
          <w:szCs w:val="24"/>
        </w:rPr>
      </w:pPr>
    </w:p>
    <w:p w14:paraId="0A8F00E6" w14:textId="77777777" w:rsidR="00163653" w:rsidRPr="00C21964" w:rsidRDefault="00163653" w:rsidP="000E1287">
      <w:pPr>
        <w:pStyle w:val="odrka10"/>
        <w:numPr>
          <w:ilvl w:val="0"/>
          <w:numId w:val="0"/>
        </w:numPr>
        <w:ind w:left="72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</w:pPr>
      <w:proofErr w:type="spellStart"/>
      <w:r w:rsidRPr="00C21964"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  <w:t>Datenschutzpolitik</w:t>
      </w:r>
      <w:proofErr w:type="spellEnd"/>
      <w:r w:rsidRPr="00C21964"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C21964"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  <w:t xml:space="preserve"> -</w:t>
      </w:r>
      <w:proofErr w:type="spellStart"/>
      <w:r w:rsidRPr="00C21964">
        <w:rPr>
          <w:rFonts w:asciiTheme="minorHAnsi" w:eastAsiaTheme="minorHAnsi" w:hAnsiTheme="minorHAnsi" w:cstheme="minorBidi"/>
          <w:b/>
          <w:bCs/>
          <w:sz w:val="28"/>
          <w:szCs w:val="28"/>
          <w:lang w:bidi="ar-SA"/>
        </w:rPr>
        <w:t>grundsätze</w:t>
      </w:r>
      <w:proofErr w:type="spellEnd"/>
      <w:proofErr w:type="gramEnd"/>
    </w:p>
    <w:p w14:paraId="2B223E83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5BC501F4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I. </w:t>
      </w:r>
      <w:proofErr w:type="spellStart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Einleitende</w:t>
      </w:r>
      <w:proofErr w:type="spellEnd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Bestimmungen</w:t>
      </w:r>
      <w:proofErr w:type="spellEnd"/>
    </w:p>
    <w:p w14:paraId="2FE8C9BB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1) Die Politik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Grundsätze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formulieren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grundlegenden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Ziele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Prinzipien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TRIMILL, a.s. („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Gesellschaft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“ oder „TRIMILL“). </w:t>
      </w:r>
    </w:p>
    <w:p w14:paraId="108FC77B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2)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Gleichzeitig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erklärt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Dokument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Willen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Geschäftsleitung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TRIMILL,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Auftragsverarbeiter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Empfänger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Dritte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über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Bedeutung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informieren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sich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Einführung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kontrollierten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Systems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einzusetzen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Verordnung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(EU) 2016/679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Europäischen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Parlaments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Rates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vom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27.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April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2016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natürlicher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freien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Datenverkehr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Aufhebung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Richtlinie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95/46/EG (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Datenschutz-Grundverordnung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) - General Data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Protection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Regulation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(„GDPR“).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Dokument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bringt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Unterstützung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Geschäftsleitung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TRIMILL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Implementierung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Betrieb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Leistungsbewertung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kontinuierliche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Verbesserung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Systems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Ausdruck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76E4642A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32E39F16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12"/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II.</w:t>
      </w:r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ab/>
        <w:t xml:space="preserve">Die </w:t>
      </w:r>
      <w:proofErr w:type="spellStart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Hauptziele</w:t>
      </w:r>
      <w:proofErr w:type="spellEnd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Datenschutzes</w:t>
      </w:r>
      <w:proofErr w:type="spellEnd"/>
    </w:p>
    <w:p w14:paraId="615AE455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Hauptziele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:</w:t>
      </w:r>
    </w:p>
    <w:p w14:paraId="76F68CCF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2)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Gewährleistung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natürlicher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ihrer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B84CBAC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3)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Gewährleistung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natürlicher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Bezug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ihrer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08663AB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4)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ständige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Anforderungen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Datenschutz-Grundverordnung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1EAA7D67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5)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anderer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rechtlicher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technischer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Anforderungen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einschlägigen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Rechtsvorschriften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technischen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Standards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festgelegt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0D998993" w14:textId="77777777" w:rsidR="00163653" w:rsidRPr="00C21964" w:rsidRDefault="00163653" w:rsidP="00C21964">
      <w:pPr>
        <w:pStyle w:val="odrka10"/>
        <w:numPr>
          <w:ilvl w:val="0"/>
          <w:numId w:val="0"/>
        </w:numPr>
        <w:ind w:left="720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6)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Sicherstellung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Fähigkeit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unerwünschte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Ereignisse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verhindern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bewältigen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563F85DF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 w:hanging="12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lastRenderedPageBreak/>
        <w:t xml:space="preserve">7)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Durchsetzung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Verantwortlichkeit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Gewährleistung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5DFFA210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 w:hanging="12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8)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Kontinuierliche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Verbesserung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Eignung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Angemessenheit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Wirksamkeit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Datenschutzmanagementsystems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32F928CA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1B9E9338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III.</w:t>
      </w: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ab/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Grundsätze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</w:p>
    <w:p w14:paraId="2D8289E9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Umfeld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Unternehmens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unterliegt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folgenden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Grundsätzen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DSGVO:</w:t>
      </w:r>
    </w:p>
    <w:p w14:paraId="03F17CD3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2)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Rechtmäßigkeit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</w:p>
    <w:p w14:paraId="624E6193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3)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Unternehmen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hauptsächlich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folgenden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Zwecke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:</w:t>
      </w:r>
    </w:p>
    <w:p w14:paraId="740223B5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4)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Dienstleistungen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interne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Prozesse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Betrieb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Organisation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</w:p>
    <w:p w14:paraId="1120D8C2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a)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Vertragliche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Beziehungen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mit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Lieferanten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Kunden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,</w:t>
      </w:r>
    </w:p>
    <w:p w14:paraId="342843A6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b)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Arbeitsrecht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Lohnbuchhaltung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,</w:t>
      </w:r>
    </w:p>
    <w:p w14:paraId="07B8017D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c)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Schutz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Vermögens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391DC525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5)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diese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Verarbeitungszwecke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Aufzeichnungen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über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Verarbeitungstätigkeiten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Anhang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1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diesem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Dokument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aufgeführt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</w:t>
      </w:r>
    </w:p>
    <w:p w14:paraId="4620E0C7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6) Alle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erfolgen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Grundlage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bestimmten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Rechtsgrundlage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dem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jeweiligen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Verzeichnis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Verarbeitungstätigkeiten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betreffenden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angegeben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ist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765BFEF1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7)</w:t>
      </w: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ab/>
        <w:t xml:space="preserve">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Aktualität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Vollständigkeit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Tätigkeitsnachweise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zuständigen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leitenden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42505CC9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8)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Leitlinien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Umsetzung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Leitlinie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„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Pflichten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“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näher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erläutert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200460F7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6308A451" w14:textId="77777777" w:rsidR="00163653" w:rsidRPr="00CE2E48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 w:rsidRPr="00CE2E48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2.</w:t>
      </w:r>
      <w:r w:rsidRPr="00CE2E48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ab/>
      </w:r>
      <w:proofErr w:type="spellStart"/>
      <w:r w:rsidRPr="00CE2E48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Beschränkung</w:t>
      </w:r>
      <w:proofErr w:type="spellEnd"/>
      <w:r w:rsidRPr="00CE2E48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 des </w:t>
      </w:r>
      <w:proofErr w:type="spellStart"/>
      <w:r w:rsidRPr="00CE2E48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Zwecks</w:t>
      </w:r>
      <w:proofErr w:type="spellEnd"/>
    </w:p>
    <w:p w14:paraId="5D94A74B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Unternehmen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sammelt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vorher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festgelegte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ausdrückliche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rechtmäßige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Zwecke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2AE2C95B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lastRenderedPageBreak/>
        <w:t xml:space="preserve">2) Um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diesen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Grundsatz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erfüllen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gelten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folgenden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Regeln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:</w:t>
      </w:r>
    </w:p>
    <w:p w14:paraId="59536B1E" w14:textId="77777777" w:rsidR="00163653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3)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jede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wird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im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Voraus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ein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spezifischer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rechtmäßiger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festgelegt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645B66C" w14:textId="77777777" w:rsidR="00C21964" w:rsidRPr="00C21964" w:rsidRDefault="00163653" w:rsidP="00CE2E48">
      <w:pPr>
        <w:pStyle w:val="odrka10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4) Die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Rechtsgrundlage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bezieht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sich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immer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auf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jeweiligen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C21964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470A8F6D" w14:textId="77777777" w:rsidR="007B4473" w:rsidRPr="007B4473" w:rsidRDefault="007B4473" w:rsidP="007B4473">
      <w:pPr>
        <w:pStyle w:val="odrka1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Die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jeweiligen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dürfen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nicht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andere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Zwecke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verwendet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7B2D2415" w14:textId="41C86A41" w:rsidR="007B4473" w:rsidRPr="007B4473" w:rsidRDefault="007B4473" w:rsidP="007B4473">
      <w:pPr>
        <w:pStyle w:val="odrka1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unterschiedlichen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Zwecken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erhoben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wurden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dürfen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nicht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kombiniert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sind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getrennt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erfassen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außer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Zwecke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aufgrund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besonderer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Rechtsvorschriften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kombiniert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dürfen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oder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Archivierungszwecke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im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öffentlichen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Interesse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</w:t>
      </w:r>
    </w:p>
    <w:p w14:paraId="0DCE3184" w14:textId="33CF79BD" w:rsidR="007B4473" w:rsidRPr="007B4473" w:rsidRDefault="007B4473" w:rsidP="007B4473">
      <w:pPr>
        <w:pStyle w:val="odrka1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Die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allen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leitenden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in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Zuständigkeitsbereich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Veranlassung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</w:t>
      </w:r>
    </w:p>
    <w:p w14:paraId="3A4E6068" w14:textId="6E721DAE" w:rsidR="007B4473" w:rsidRPr="007B4473" w:rsidRDefault="007B4473" w:rsidP="007B4473">
      <w:pPr>
        <w:pStyle w:val="odrka1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Die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Leitlinien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Umsetzung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der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Leitlinie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„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Pflichten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“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näher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ausgeführt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BD54C3F" w14:textId="77777777" w:rsidR="007B4473" w:rsidRPr="007B4473" w:rsidRDefault="007B4473" w:rsidP="007B4473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70DAFE40" w14:textId="77777777" w:rsidR="007B4473" w:rsidRPr="007B4473" w:rsidRDefault="007B4473" w:rsidP="007B4473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3.</w:t>
      </w:r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ab/>
      </w:r>
      <w:proofErr w:type="spellStart"/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Datenminimierung</w:t>
      </w:r>
      <w:proofErr w:type="spellEnd"/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  <w:t>Speicherbeschränkungen</w:t>
      </w:r>
      <w:proofErr w:type="spellEnd"/>
    </w:p>
    <w:p w14:paraId="1C58D6B6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1)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Im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Unternehmen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angegebenen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erforderlichen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Zeitraum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1731C888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2) Um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diesen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Grundsatz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erfüllen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folgenden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Regeln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angewandt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:</w:t>
      </w:r>
    </w:p>
    <w:p w14:paraId="6BE6B6A9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3) Es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ist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verboten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sammeln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:</w:t>
      </w:r>
    </w:p>
    <w:p w14:paraId="0CFA6683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a. o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unverhältnismäßige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,</w:t>
      </w:r>
    </w:p>
    <w:p w14:paraId="7D3B5F77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b. o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irrelevante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,</w:t>
      </w:r>
    </w:p>
    <w:p w14:paraId="69CA5B0E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c. o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nicht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erforderlich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sind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1314079F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 w:hanging="36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4)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Diese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Regel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wird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bestehende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Verarbeitungszwecke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durch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Auflistung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grundlegenden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Datenarten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proofErr w:type="gram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-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kategorien</w:t>
      </w:r>
      <w:proofErr w:type="spellEnd"/>
      <w:proofErr w:type="gram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Aufzeichnungen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Verarbeitungstätigkeiten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festgelegt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027528F2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lastRenderedPageBreak/>
        <w:t xml:space="preserve">5)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mögliche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künftige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Verarbeitungszwecke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wird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Regel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gleicher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Weise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angewandt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in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Übereinstimmung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mit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Standardschutzvorschriften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3B078A5" w14:textId="77777777" w:rsidR="007B4473" w:rsidRPr="007B4473" w:rsidRDefault="007B4473" w:rsidP="00F64066">
      <w:pPr>
        <w:pStyle w:val="odrka10"/>
        <w:numPr>
          <w:ilvl w:val="0"/>
          <w:numId w:val="0"/>
        </w:numPr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6)</w:t>
      </w:r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ab/>
        <w:t xml:space="preserve">Die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allen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Führungskräften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unter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Aufsicht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Auftrag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7B4473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4099B6E6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7)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proofErr w:type="gram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Papier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-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proofErr w:type="gram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elektronischer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Form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begrenzten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dem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Zweck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entsprechenden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Zeitraum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aufbewahrt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Nach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Ablauf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Zeitraums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sie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gemäß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in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allgemein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verbindlichen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Rechtsvorschriften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festgelegten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Regeln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Fristen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vernichtet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oder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gelöscht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640A6BCC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8)</w:t>
      </w: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ab/>
        <w:t xml:space="preserve">Die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allen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leitenden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in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Zuständigkeitsbereich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deren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Auftrag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verarbeitet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7ED64D91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9) Die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elektronischer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Form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dem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oder der Person (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natürliche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oder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juristische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Person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im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Rahmen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Vertragsverhältnisses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),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Verwaltung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Betrieb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Informationstechnologie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verantwortlich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ist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7E6AB96B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714" w:hanging="357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5F5846EA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10)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sollen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nur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so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wenigen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möglich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zugänglich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sein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</w:t>
      </w:r>
    </w:p>
    <w:p w14:paraId="58A56163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Regel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wird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durch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Festlegung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Einführung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Regeln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Kontrolle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des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Zugangs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</w:t>
      </w:r>
      <w:proofErr w:type="spellStart"/>
      <w:proofErr w:type="gram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Papier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-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proofErr w:type="gram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elektronischer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Form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sowie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Offenlegung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,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gemeinsamen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Nutzung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Weitergabe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Informationen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aufgestellt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. </w:t>
      </w:r>
    </w:p>
    <w:p w14:paraId="5B95FFC2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Die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Verantwortung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Einhaltung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liegt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allen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Führungskräften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und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Mitarbeitern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2481ABCA" w14:textId="77777777" w:rsidR="008C7050" w:rsidRPr="008C7050" w:rsidRDefault="008C7050" w:rsidP="00174598">
      <w:pPr>
        <w:pStyle w:val="odrka1"/>
        <w:numPr>
          <w:ilvl w:val="0"/>
          <w:numId w:val="0"/>
        </w:numPr>
        <w:spacing w:before="120" w:line="240" w:lineRule="auto"/>
        <w:ind w:left="1068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Die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Leitlinien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zur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Umsetzung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dieses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Grundsatzes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werden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in 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Leitlinie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„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Verantwortlichkeiten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von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Einzelpersonen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bei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der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Verarbeitung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personenbezogener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Daten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“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näher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proofErr w:type="spellStart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erläutert</w:t>
      </w:r>
      <w:proofErr w:type="spellEnd"/>
      <w:r w:rsidRPr="008C7050">
        <w:rPr>
          <w:rFonts w:asciiTheme="minorHAnsi" w:eastAsiaTheme="minorHAnsi" w:hAnsiTheme="minorHAnsi" w:cstheme="minorBidi"/>
          <w:sz w:val="24"/>
          <w:szCs w:val="24"/>
          <w:lang w:bidi="ar-SA"/>
        </w:rPr>
        <w:t>.</w:t>
      </w:r>
    </w:p>
    <w:p w14:paraId="1DA836F5" w14:textId="77777777" w:rsidR="008C7050" w:rsidRPr="008C7050" w:rsidRDefault="008C7050" w:rsidP="003C20E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eastAsiaTheme="minorHAnsi" w:hAnsiTheme="minorHAnsi" w:cstheme="minorBidi"/>
          <w:sz w:val="24"/>
          <w:szCs w:val="24"/>
          <w:lang w:bidi="ar-SA"/>
        </w:rPr>
      </w:pPr>
    </w:p>
    <w:p w14:paraId="7646B4F5" w14:textId="6060E64C" w:rsidR="00F5487A" w:rsidRPr="001640C7" w:rsidRDefault="00F5487A" w:rsidP="008C7050">
      <w:pPr>
        <w:pStyle w:val="odrka1"/>
        <w:numPr>
          <w:ilvl w:val="0"/>
          <w:numId w:val="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Accuracy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of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personal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data</w:t>
      </w:r>
    </w:p>
    <w:p w14:paraId="119912AB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Company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only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accurate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data.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principles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updating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are set in 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manner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appropriate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criticality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potential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impact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386DE0BF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employee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responsible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preparation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conclusion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employment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shall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instruct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employee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obligation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report any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changes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any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transmitted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him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6A53C2D2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responsibility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determining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verify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accuracy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rests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senior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staff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whose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areas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responsibility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and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whose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agendas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are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2A65DE6A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</w:p>
    <w:p w14:paraId="2112401B" w14:textId="23BDEB78" w:rsidR="00F5487A" w:rsidRPr="001640C7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A5418F"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5418F" w:rsidRPr="001640C7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1640C7">
        <w:rPr>
          <w:rFonts w:asciiTheme="minorHAnsi" w:hAnsiTheme="minorHAnsi" w:cstheme="minorHAnsi"/>
          <w:b/>
          <w:bCs/>
          <w:sz w:val="24"/>
          <w:szCs w:val="24"/>
        </w:rPr>
        <w:t>airness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transparency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processing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of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640C7">
        <w:rPr>
          <w:rFonts w:asciiTheme="minorHAnsi" w:hAnsiTheme="minorHAnsi" w:cstheme="minorHAnsi"/>
          <w:b/>
          <w:bCs/>
          <w:sz w:val="24"/>
          <w:szCs w:val="24"/>
        </w:rPr>
        <w:t>personal</w:t>
      </w:r>
      <w:proofErr w:type="spellEnd"/>
      <w:r w:rsidRPr="001640C7">
        <w:rPr>
          <w:rFonts w:asciiTheme="minorHAnsi" w:hAnsiTheme="minorHAnsi" w:cstheme="minorHAnsi"/>
          <w:b/>
          <w:bCs/>
          <w:sz w:val="24"/>
          <w:szCs w:val="24"/>
        </w:rPr>
        <w:t xml:space="preserve"> data</w:t>
      </w:r>
    </w:p>
    <w:p w14:paraId="54321D1B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 w:hanging="6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within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scope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TRIMILL,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transparently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following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ways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:</w:t>
      </w:r>
    </w:p>
    <w:p w14:paraId="219371B9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basic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TRIMILL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website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www.trimill.cz,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accessible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,</w:t>
      </w:r>
    </w:p>
    <w:p w14:paraId="307E82AD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additional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written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provided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individual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agendas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requiring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consent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and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selected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agendas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,</w:t>
      </w:r>
    </w:p>
    <w:p w14:paraId="0067F0BB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written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employment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law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purposes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provided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employees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,</w:t>
      </w:r>
    </w:p>
    <w:p w14:paraId="2E8AED28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monitoring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buildings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premises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by CCTV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,</w:t>
      </w:r>
    </w:p>
    <w:p w14:paraId="22B8EC5B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internal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regulations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2B50123C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 w:hanging="6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Company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has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established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procedures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exercising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. These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are:</w:t>
      </w:r>
    </w:p>
    <w:p w14:paraId="39D863F6" w14:textId="77777777" w:rsidR="00F5487A" w:rsidRPr="00F5487A" w:rsidRDefault="00F5487A" w:rsidP="00A5418F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data,</w:t>
      </w:r>
    </w:p>
    <w:p w14:paraId="3D7F97E1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rectification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inaccurate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data,</w:t>
      </w:r>
    </w:p>
    <w:p w14:paraId="62F25F77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erasure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(to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forgotten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),</w:t>
      </w:r>
    </w:p>
    <w:p w14:paraId="07453213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restriction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,</w:t>
      </w:r>
    </w:p>
    <w:p w14:paraId="049EAE37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portability,</w:t>
      </w:r>
    </w:p>
    <w:p w14:paraId="568E2701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object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data,</w:t>
      </w:r>
    </w:p>
    <w:p w14:paraId="267B45F4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not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automated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individual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decision-making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62376D64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exercise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in TRIMILL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shall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managed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senior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employees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within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whose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remit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request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exercise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falls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.</w:t>
      </w:r>
    </w:p>
    <w:p w14:paraId="036C87AC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procedures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implementing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principle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detailed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Guidelines</w:t>
      </w:r>
      <w:proofErr w:type="spellEnd"/>
    </w:p>
    <w:p w14:paraId="759D8C00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>- "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Obligations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processing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data",</w:t>
      </w:r>
    </w:p>
    <w:p w14:paraId="3810D6E2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F5487A">
        <w:rPr>
          <w:rFonts w:asciiTheme="minorHAnsi" w:hAnsiTheme="minorHAnsi" w:cstheme="minorHAnsi"/>
          <w:sz w:val="24"/>
          <w:szCs w:val="24"/>
        </w:rPr>
        <w:t>- "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Exercise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subject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487A">
        <w:rPr>
          <w:rFonts w:asciiTheme="minorHAnsi" w:hAnsiTheme="minorHAnsi" w:cstheme="minorHAnsi"/>
          <w:sz w:val="24"/>
          <w:szCs w:val="24"/>
        </w:rPr>
        <w:t>rights</w:t>
      </w:r>
      <w:proofErr w:type="spellEnd"/>
      <w:r w:rsidRPr="00F5487A">
        <w:rPr>
          <w:rFonts w:asciiTheme="minorHAnsi" w:hAnsiTheme="minorHAnsi" w:cstheme="minorHAnsi"/>
          <w:sz w:val="24"/>
          <w:szCs w:val="24"/>
        </w:rPr>
        <w:t>".</w:t>
      </w:r>
    </w:p>
    <w:p w14:paraId="791071BE" w14:textId="77777777" w:rsidR="00F5487A" w:rsidRPr="00F5487A" w:rsidRDefault="00F5487A" w:rsidP="00FD47AC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</w:p>
    <w:p w14:paraId="2A5287EE" w14:textId="77777777" w:rsidR="00271593" w:rsidRPr="00271593" w:rsidRDefault="00F5487A" w:rsidP="00271593">
      <w:pPr>
        <w:pStyle w:val="odrka1"/>
        <w:numPr>
          <w:ilvl w:val="0"/>
          <w:numId w:val="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271593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271593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271593" w:rsidRPr="00271593">
        <w:rPr>
          <w:rFonts w:asciiTheme="minorHAnsi" w:hAnsiTheme="minorHAnsi" w:cstheme="minorHAnsi"/>
          <w:b/>
          <w:bCs/>
          <w:sz w:val="24"/>
          <w:szCs w:val="24"/>
        </w:rPr>
        <w:t>Richtigkeit</w:t>
      </w:r>
      <w:proofErr w:type="spellEnd"/>
      <w:r w:rsidR="00271593"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der </w:t>
      </w:r>
      <w:proofErr w:type="spellStart"/>
      <w:r w:rsidR="00271593" w:rsidRPr="00271593">
        <w:rPr>
          <w:rFonts w:asciiTheme="minorHAnsi" w:hAnsiTheme="minorHAnsi" w:cstheme="minorHAnsi"/>
          <w:b/>
          <w:bCs/>
          <w:sz w:val="24"/>
          <w:szCs w:val="24"/>
        </w:rPr>
        <w:t>personenbezogenen</w:t>
      </w:r>
      <w:proofErr w:type="spellEnd"/>
      <w:r w:rsidR="00271593"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71593" w:rsidRPr="00271593">
        <w:rPr>
          <w:rFonts w:asciiTheme="minorHAnsi" w:hAnsiTheme="minorHAnsi" w:cstheme="minorHAnsi"/>
          <w:b/>
          <w:bCs/>
          <w:sz w:val="24"/>
          <w:szCs w:val="24"/>
        </w:rPr>
        <w:t>Daten</w:t>
      </w:r>
      <w:proofErr w:type="spellEnd"/>
    </w:p>
    <w:p w14:paraId="3B358DE0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Unternehmen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verarbeitet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nur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korrekte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. Die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Grundsätze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Aktualisierung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verarbeiteten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einer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Weise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festgelegt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Kritikalität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ihrer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möglichen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Auswirkungen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auf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betroffenen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angemessen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.</w:t>
      </w:r>
    </w:p>
    <w:p w14:paraId="1090B11B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Ausarbeitung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und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Abschluss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Arbeitsvertrags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verantwortliche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Mitarbeiter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unterrichtet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jeden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Mitarbeiter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Verpflichtung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jede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Änderung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von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ihm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übermittelten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melden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.</w:t>
      </w:r>
    </w:p>
    <w:p w14:paraId="19E70D69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lastRenderedPageBreak/>
        <w:t xml:space="preserve">Die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Verantwortung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Festlegung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Richtigkeit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überprüfen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liegt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bei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allen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leitenden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Mitarbeitern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deren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Zuständigkeitsbereich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und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auf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deren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Agenden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verarbeitet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.</w:t>
      </w:r>
    </w:p>
    <w:p w14:paraId="4FFA3C40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</w:p>
    <w:p w14:paraId="4DE64B8D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>2</w:t>
      </w:r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Fairness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und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Transparenz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bei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Verarbeitung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von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personenbezogenen</w:t>
      </w:r>
      <w:proofErr w:type="spellEnd"/>
      <w:r w:rsidRPr="00271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b/>
          <w:bCs/>
          <w:sz w:val="24"/>
          <w:szCs w:val="24"/>
        </w:rPr>
        <w:t>Daten</w:t>
      </w:r>
      <w:proofErr w:type="spellEnd"/>
    </w:p>
    <w:p w14:paraId="16ED3412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Bei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im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Rahmen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von TRIMILL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betroffenen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auf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folgende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Weise transparent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informiert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:</w:t>
      </w:r>
    </w:p>
    <w:p w14:paraId="24F353D5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grundlegende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auf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TRIMILL-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Website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www.trimill.cz,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betroffenen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zugänglich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sind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,</w:t>
      </w:r>
    </w:p>
    <w:p w14:paraId="25E3DC2F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zusätzliche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schriftliche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einzelne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Agenden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eine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Zustimmung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erfordern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und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ausgewählte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Agenden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bereitgestellt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,</w:t>
      </w:r>
    </w:p>
    <w:p w14:paraId="3182CDB1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schriftliche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Verarbeitung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personenbezogener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arbeitsrechtliche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Zwecke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neuen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Mitarbeitern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zur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Verfügung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gestellt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werden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,</w:t>
      </w:r>
    </w:p>
    <w:p w14:paraId="0219D83F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Überwachung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von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Gebäuden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oder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Räumlichkeiten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durch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Videoüberwachungssysteme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,</w:t>
      </w:r>
    </w:p>
    <w:p w14:paraId="34898D4E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27159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Informationen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anderen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internen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Vorschriften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.</w:t>
      </w:r>
    </w:p>
    <w:p w14:paraId="1BFEA775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Unternehmen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hat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Verfahren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Ausübung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Rechte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der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betroffenen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Person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festgelegt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Diese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Rechte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1593">
        <w:rPr>
          <w:rFonts w:asciiTheme="minorHAnsi" w:hAnsiTheme="minorHAnsi" w:cstheme="minorHAnsi"/>
          <w:sz w:val="24"/>
          <w:szCs w:val="24"/>
        </w:rPr>
        <w:t>sind</w:t>
      </w:r>
      <w:proofErr w:type="spellEnd"/>
      <w:r w:rsidRPr="00271593">
        <w:rPr>
          <w:rFonts w:asciiTheme="minorHAnsi" w:hAnsiTheme="minorHAnsi" w:cstheme="minorHAnsi"/>
          <w:sz w:val="24"/>
          <w:szCs w:val="24"/>
        </w:rPr>
        <w:t>:</w:t>
      </w:r>
    </w:p>
    <w:p w14:paraId="136AEDE0" w14:textId="77777777" w:rsidR="00271593" w:rsidRPr="00271593" w:rsidRDefault="00271593" w:rsidP="00271593">
      <w:pPr>
        <w:pStyle w:val="odrka1"/>
        <w:numPr>
          <w:ilvl w:val="0"/>
          <w:numId w:val="0"/>
        </w:numPr>
        <w:spacing w:before="120" w:line="240" w:lineRule="auto"/>
        <w:ind w:left="714"/>
        <w:rPr>
          <w:rFonts w:asciiTheme="minorHAnsi" w:hAnsiTheme="minorHAnsi" w:cstheme="minorHAnsi"/>
          <w:sz w:val="24"/>
          <w:szCs w:val="24"/>
        </w:rPr>
      </w:pPr>
    </w:p>
    <w:p w14:paraId="7D9A36DF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Leitfaden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„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Pflichten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von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bei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“.</w:t>
      </w:r>
    </w:p>
    <w:p w14:paraId="2037F92F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Leitlinie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„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Ausübung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Rechte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betroffenen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Person“,</w:t>
      </w:r>
    </w:p>
    <w:p w14:paraId="1E5F3068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Leitlinie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„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von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“,</w:t>
      </w:r>
    </w:p>
    <w:p w14:paraId="44D0BF54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Leitlinie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„IKT-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Sicherheit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“,</w:t>
      </w:r>
    </w:p>
    <w:p w14:paraId="1748C02D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Leitlinie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„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im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Videoüberwachungssystem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“,</w:t>
      </w:r>
    </w:p>
    <w:p w14:paraId="5D013CD6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>- GDPR-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Risikoanalyse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-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Methodik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1387CA51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Liste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Bedrohungen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Maßnahmen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5B694078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Risikomanagement-Plan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6FDB1A86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>- GDPR-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Risikobewertungs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-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Tool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.</w:t>
      </w:r>
    </w:p>
    <w:p w14:paraId="43958C34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</w:p>
    <w:p w14:paraId="5B3074BD" w14:textId="77777777" w:rsidR="0068101A" w:rsidRPr="004F0CB1" w:rsidRDefault="0068101A" w:rsidP="0068101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bidi="en-US"/>
        </w:rPr>
      </w:pPr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 xml:space="preserve">4. </w:t>
      </w:r>
      <w:proofErr w:type="spellStart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>Verantwortlichkeiten</w:t>
      </w:r>
      <w:proofErr w:type="spellEnd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 xml:space="preserve"> des </w:t>
      </w:r>
      <w:proofErr w:type="spellStart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>für</w:t>
      </w:r>
      <w:proofErr w:type="spellEnd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 xml:space="preserve"> </w:t>
      </w:r>
      <w:proofErr w:type="spellStart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>die</w:t>
      </w:r>
      <w:proofErr w:type="spellEnd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 xml:space="preserve"> </w:t>
      </w:r>
      <w:proofErr w:type="spellStart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>Datenverarbeitung</w:t>
      </w:r>
      <w:proofErr w:type="spellEnd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 xml:space="preserve"> </w:t>
      </w:r>
      <w:proofErr w:type="spellStart"/>
      <w:r w:rsidRPr="004F0CB1">
        <w:rPr>
          <w:rFonts w:eastAsia="Times New Roman" w:cstheme="minorHAnsi"/>
          <w:b/>
          <w:bCs/>
          <w:sz w:val="24"/>
          <w:szCs w:val="24"/>
          <w:lang w:bidi="en-US"/>
        </w:rPr>
        <w:t>Verantwortlichen</w:t>
      </w:r>
      <w:proofErr w:type="spellEnd"/>
    </w:p>
    <w:p w14:paraId="6CFB6C4C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</w:p>
    <w:p w14:paraId="04768032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Unternehmen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ist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für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Verantwortliche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.</w:t>
      </w:r>
    </w:p>
    <w:p w14:paraId="5120B6E2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für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Verantwortliche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muss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Einhaltung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DSGVO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sicherstellen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nachweisen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:</w:t>
      </w:r>
    </w:p>
    <w:p w14:paraId="6F14E932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1) durch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Datenschutzpolitik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,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Folgendes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darlegen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:</w:t>
      </w:r>
    </w:p>
    <w:p w14:paraId="10430EFD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Ziele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des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77A2C212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des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39FC154A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Verantwortlichkeiten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für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Umsetzung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16C98F54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Verantwortung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für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Kontrolle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. </w:t>
      </w:r>
    </w:p>
    <w:p w14:paraId="4D8C3C04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2)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von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Aufzeichnungen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über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Verarbeitungstätigkeiten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, </w:t>
      </w:r>
    </w:p>
    <w:p w14:paraId="17E74FA1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lastRenderedPageBreak/>
        <w:t xml:space="preserve">3)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Ausarbeitung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Politik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des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in den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unter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Punkt 6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genannten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Leitlinien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Dokumenten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1FE695BA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4)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Sicherstellung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Umsetzung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des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bewussten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einheitlichen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Datenschutzes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:</w:t>
      </w:r>
    </w:p>
    <w:p w14:paraId="6C0AC9EC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Konzeption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geeigneter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technischer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organisatorischer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Maßnahmen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zum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vorsätzlichen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,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die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vor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Beginn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eigentlichen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festgelegt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werden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,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zwar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bereits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bei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Festlegung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Mittel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zur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Verarbeitung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personenbezogener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Daten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,</w:t>
      </w:r>
    </w:p>
    <w:p w14:paraId="74F15C44" w14:textId="77777777" w:rsidR="0068101A" w:rsidRPr="0068101A" w:rsidRDefault="0068101A" w:rsidP="006810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8101A">
        <w:rPr>
          <w:rFonts w:eastAsia="Times New Roman" w:cstheme="minorHAnsi"/>
          <w:sz w:val="24"/>
          <w:szCs w:val="24"/>
          <w:lang w:bidi="en-US"/>
        </w:rPr>
        <w:t xml:space="preserve">-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Umsetzung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Aufrechterhaltung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des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vorsätzlichen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standardmäßigen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Schutzes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durch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geeignete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technische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und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organisatorische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Maßnahmen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auf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Grundlage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der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Ergebnisse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einer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Pr="0068101A">
        <w:rPr>
          <w:rFonts w:eastAsia="Times New Roman" w:cstheme="minorHAnsi"/>
          <w:sz w:val="24"/>
          <w:szCs w:val="24"/>
          <w:lang w:bidi="en-US"/>
        </w:rPr>
        <w:t>Risikoanalyse</w:t>
      </w:r>
      <w:proofErr w:type="spellEnd"/>
      <w:r w:rsidRPr="0068101A">
        <w:rPr>
          <w:rFonts w:eastAsia="Times New Roman" w:cstheme="minorHAnsi"/>
          <w:sz w:val="24"/>
          <w:szCs w:val="24"/>
          <w:lang w:bidi="en-US"/>
        </w:rPr>
        <w:t>.</w:t>
      </w:r>
    </w:p>
    <w:p w14:paraId="74063406" w14:textId="5011E8C9" w:rsidR="00F73E3C" w:rsidRPr="00F73E3C" w:rsidRDefault="00F73E3C" w:rsidP="0068101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bidi="en-US"/>
        </w:rPr>
      </w:pPr>
      <w:r w:rsidRPr="00F73E3C">
        <w:rPr>
          <w:rFonts w:eastAsia="Times New Roman" w:cstheme="minorHAnsi"/>
          <w:bCs/>
          <w:sz w:val="24"/>
          <w:szCs w:val="24"/>
          <w:lang w:bidi="en-US"/>
        </w:rPr>
        <w:t xml:space="preserve">5)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Einhaltung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aller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r w:rsidR="008A27F3" w:rsidRPr="0068101A">
        <w:rPr>
          <w:rFonts w:eastAsia="Times New Roman" w:cstheme="minorHAnsi"/>
          <w:sz w:val="24"/>
          <w:szCs w:val="24"/>
          <w:lang w:bidi="en-US"/>
        </w:rPr>
        <w:t>GDPR-</w:t>
      </w:r>
      <w:proofErr w:type="spellStart"/>
      <w:r w:rsidR="008A27F3" w:rsidRPr="0068101A">
        <w:rPr>
          <w:rFonts w:eastAsia="Times New Roman" w:cstheme="minorHAnsi"/>
          <w:sz w:val="24"/>
          <w:szCs w:val="24"/>
          <w:lang w:bidi="en-US"/>
        </w:rPr>
        <w:t>Grundsätze</w:t>
      </w:r>
      <w:proofErr w:type="spellEnd"/>
      <w:r w:rsidR="008A27F3" w:rsidRPr="0068101A">
        <w:rPr>
          <w:rFonts w:eastAsia="Times New Roman" w:cstheme="minorHAnsi"/>
          <w:sz w:val="24"/>
          <w:szCs w:val="24"/>
          <w:lang w:bidi="en-US"/>
        </w:rPr>
        <w:t xml:space="preserve"> in </w:t>
      </w:r>
      <w:proofErr w:type="spellStart"/>
      <w:r w:rsidR="008A27F3" w:rsidRPr="0068101A">
        <w:rPr>
          <w:rFonts w:eastAsia="Times New Roman" w:cstheme="minorHAnsi"/>
          <w:sz w:val="24"/>
          <w:szCs w:val="24"/>
          <w:lang w:bidi="en-US"/>
        </w:rPr>
        <w:t>Bezug</w:t>
      </w:r>
      <w:proofErr w:type="spellEnd"/>
      <w:r w:rsidR="008A27F3" w:rsidRPr="0068101A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spellStart"/>
      <w:r w:rsidR="008A27F3" w:rsidRPr="0068101A">
        <w:rPr>
          <w:rFonts w:eastAsia="Times New Roman" w:cstheme="minorHAnsi"/>
          <w:sz w:val="24"/>
          <w:szCs w:val="24"/>
          <w:lang w:bidi="en-US"/>
        </w:rPr>
        <w:t>auf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in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Bezug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auf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Auftragsverarbeiter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und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andere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für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die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Verarbeitung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 xml:space="preserve"> </w:t>
      </w:r>
      <w:proofErr w:type="spellStart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Verantwortliche</w:t>
      </w:r>
      <w:proofErr w:type="spellEnd"/>
      <w:r w:rsidR="008A27F3" w:rsidRPr="008A27F3">
        <w:rPr>
          <w:rFonts w:eastAsia="Times New Roman" w:cstheme="minorHAnsi"/>
          <w:bCs/>
          <w:sz w:val="24"/>
          <w:szCs w:val="24"/>
          <w:lang w:bidi="en-US"/>
        </w:rPr>
        <w:t>.</w:t>
      </w:r>
    </w:p>
    <w:sectPr w:rsidR="00F73E3C" w:rsidRPr="00F73E3C" w:rsidSect="00F033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8C8" w14:textId="77777777" w:rsidR="005D09E6" w:rsidRDefault="005D09E6" w:rsidP="009C501D">
      <w:pPr>
        <w:spacing w:after="0" w:line="240" w:lineRule="auto"/>
      </w:pPr>
      <w:r>
        <w:separator/>
      </w:r>
    </w:p>
  </w:endnote>
  <w:endnote w:type="continuationSeparator" w:id="0">
    <w:p w14:paraId="3238B101" w14:textId="77777777" w:rsidR="005D09E6" w:rsidRDefault="005D09E6" w:rsidP="009C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3103"/>
      <w:docPartObj>
        <w:docPartGallery w:val="Page Numbers (Bottom of Page)"/>
        <w:docPartUnique/>
      </w:docPartObj>
    </w:sdtPr>
    <w:sdtEndPr/>
    <w:sdtContent>
      <w:p w14:paraId="7715B6A7" w14:textId="5D68B2C8" w:rsidR="009C501D" w:rsidRDefault="00BF3D79" w:rsidP="00BF3D79">
        <w:pPr>
          <w:pStyle w:val="Zpat"/>
        </w:pPr>
        <w:r>
          <w:t xml:space="preserve">GDPR </w:t>
        </w:r>
        <w:proofErr w:type="spellStart"/>
        <w:r w:rsidR="000E1287">
          <w:t>Richtlinien</w:t>
        </w:r>
        <w:proofErr w:type="spellEnd"/>
        <w:r w:rsidR="001640C7">
          <w:t xml:space="preserve">                                                                      </w:t>
        </w:r>
        <w:r>
          <w:tab/>
        </w:r>
        <w:r w:rsidR="00BF0F0D">
          <w:fldChar w:fldCharType="begin"/>
        </w:r>
        <w:r w:rsidR="00BF0F0D">
          <w:instrText xml:space="preserve"> PAGE   \* MERGEFORMAT </w:instrText>
        </w:r>
        <w:r w:rsidR="00BF0F0D">
          <w:fldChar w:fldCharType="separate"/>
        </w:r>
        <w:r w:rsidR="00BF0F0D">
          <w:rPr>
            <w:noProof/>
          </w:rPr>
          <w:t>1</w:t>
        </w:r>
        <w:r w:rsidR="00BF0F0D">
          <w:rPr>
            <w:noProof/>
          </w:rPr>
          <w:fldChar w:fldCharType="end"/>
        </w:r>
      </w:p>
    </w:sdtContent>
  </w:sdt>
  <w:p w14:paraId="170D2E04" w14:textId="77777777" w:rsidR="009C501D" w:rsidRDefault="009C5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B823" w14:textId="77777777" w:rsidR="005D09E6" w:rsidRDefault="005D09E6" w:rsidP="009C501D">
      <w:pPr>
        <w:spacing w:after="0" w:line="240" w:lineRule="auto"/>
      </w:pPr>
      <w:r>
        <w:separator/>
      </w:r>
    </w:p>
  </w:footnote>
  <w:footnote w:type="continuationSeparator" w:id="0">
    <w:p w14:paraId="7131ED40" w14:textId="77777777" w:rsidR="005D09E6" w:rsidRDefault="005D09E6" w:rsidP="009C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8F9"/>
    <w:multiLevelType w:val="hybridMultilevel"/>
    <w:tmpl w:val="FE48A68A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FC7D92"/>
    <w:multiLevelType w:val="hybridMultilevel"/>
    <w:tmpl w:val="86F4D06C"/>
    <w:lvl w:ilvl="0" w:tplc="6414C802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39D"/>
    <w:multiLevelType w:val="hybridMultilevel"/>
    <w:tmpl w:val="9B3237FC"/>
    <w:lvl w:ilvl="0" w:tplc="F3C2DE68">
      <w:start w:val="1"/>
      <w:numFmt w:val="bullet"/>
      <w:pStyle w:val="odrka2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54227F"/>
    <w:multiLevelType w:val="hybridMultilevel"/>
    <w:tmpl w:val="87C29E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6180"/>
    <w:multiLevelType w:val="hybridMultilevel"/>
    <w:tmpl w:val="49525A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F7C22"/>
    <w:multiLevelType w:val="hybridMultilevel"/>
    <w:tmpl w:val="D31C9040"/>
    <w:lvl w:ilvl="0" w:tplc="7E3671DE">
      <w:start w:val="1"/>
      <w:numFmt w:val="decimal"/>
      <w:pStyle w:val="slovannadpisuvnitkapitol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9327C"/>
    <w:multiLevelType w:val="hybridMultilevel"/>
    <w:tmpl w:val="09CAC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0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D15785"/>
    <w:multiLevelType w:val="hybridMultilevel"/>
    <w:tmpl w:val="175A1E12"/>
    <w:lvl w:ilvl="0" w:tplc="E7F434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971967">
    <w:abstractNumId w:val="6"/>
  </w:num>
  <w:num w:numId="2" w16cid:durableId="746926819">
    <w:abstractNumId w:val="8"/>
  </w:num>
  <w:num w:numId="3" w16cid:durableId="624428610">
    <w:abstractNumId w:val="9"/>
  </w:num>
  <w:num w:numId="4" w16cid:durableId="1643656081">
    <w:abstractNumId w:val="7"/>
  </w:num>
  <w:num w:numId="5" w16cid:durableId="561215064">
    <w:abstractNumId w:val="1"/>
  </w:num>
  <w:num w:numId="6" w16cid:durableId="2090958491">
    <w:abstractNumId w:val="2"/>
  </w:num>
  <w:num w:numId="7" w16cid:durableId="1541242830">
    <w:abstractNumId w:val="5"/>
  </w:num>
  <w:num w:numId="8" w16cid:durableId="557861575">
    <w:abstractNumId w:val="1"/>
    <w:lvlOverride w:ilvl="0">
      <w:startOverride w:val="1"/>
    </w:lvlOverride>
  </w:num>
  <w:num w:numId="9" w16cid:durableId="1529760012">
    <w:abstractNumId w:val="4"/>
  </w:num>
  <w:num w:numId="10" w16cid:durableId="836306227">
    <w:abstractNumId w:val="8"/>
    <w:lvlOverride w:ilvl="0">
      <w:startOverride w:val="1"/>
    </w:lvlOverride>
  </w:num>
  <w:num w:numId="11" w16cid:durableId="890923896">
    <w:abstractNumId w:val="8"/>
    <w:lvlOverride w:ilvl="0">
      <w:startOverride w:val="1"/>
    </w:lvlOverride>
  </w:num>
  <w:num w:numId="12" w16cid:durableId="582960319">
    <w:abstractNumId w:val="8"/>
    <w:lvlOverride w:ilvl="0">
      <w:startOverride w:val="1"/>
    </w:lvlOverride>
  </w:num>
  <w:num w:numId="13" w16cid:durableId="1003242675">
    <w:abstractNumId w:val="0"/>
  </w:num>
  <w:num w:numId="14" w16cid:durableId="2093698834">
    <w:abstractNumId w:val="8"/>
    <w:lvlOverride w:ilvl="0">
      <w:startOverride w:val="1"/>
    </w:lvlOverride>
  </w:num>
  <w:num w:numId="15" w16cid:durableId="1308317420">
    <w:abstractNumId w:val="8"/>
    <w:lvlOverride w:ilvl="0">
      <w:startOverride w:val="1"/>
    </w:lvlOverride>
  </w:num>
  <w:num w:numId="16" w16cid:durableId="1172525475">
    <w:abstractNumId w:val="8"/>
    <w:lvlOverride w:ilvl="0">
      <w:startOverride w:val="1"/>
    </w:lvlOverride>
  </w:num>
  <w:num w:numId="17" w16cid:durableId="1605067381">
    <w:abstractNumId w:val="8"/>
    <w:lvlOverride w:ilvl="0">
      <w:startOverride w:val="2"/>
    </w:lvlOverride>
  </w:num>
  <w:num w:numId="18" w16cid:durableId="1642224900">
    <w:abstractNumId w:val="8"/>
    <w:lvlOverride w:ilvl="0">
      <w:startOverride w:val="1"/>
    </w:lvlOverride>
  </w:num>
  <w:num w:numId="19" w16cid:durableId="1673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4D"/>
    <w:rsid w:val="00036B85"/>
    <w:rsid w:val="00043286"/>
    <w:rsid w:val="000E1287"/>
    <w:rsid w:val="000E3918"/>
    <w:rsid w:val="000F10EE"/>
    <w:rsid w:val="0011132B"/>
    <w:rsid w:val="001215F9"/>
    <w:rsid w:val="00163653"/>
    <w:rsid w:val="001640C7"/>
    <w:rsid w:val="00174598"/>
    <w:rsid w:val="001A6D45"/>
    <w:rsid w:val="001A7D51"/>
    <w:rsid w:val="001E5B05"/>
    <w:rsid w:val="00271593"/>
    <w:rsid w:val="002D72FE"/>
    <w:rsid w:val="003538B2"/>
    <w:rsid w:val="00396AD7"/>
    <w:rsid w:val="003C20E3"/>
    <w:rsid w:val="00441704"/>
    <w:rsid w:val="00494DCB"/>
    <w:rsid w:val="004F0CB1"/>
    <w:rsid w:val="005577EF"/>
    <w:rsid w:val="005C3488"/>
    <w:rsid w:val="005C3660"/>
    <w:rsid w:val="005D09E6"/>
    <w:rsid w:val="0061556F"/>
    <w:rsid w:val="0062378E"/>
    <w:rsid w:val="00671499"/>
    <w:rsid w:val="00674329"/>
    <w:rsid w:val="0068101A"/>
    <w:rsid w:val="006C3EA0"/>
    <w:rsid w:val="006E7B63"/>
    <w:rsid w:val="006F732A"/>
    <w:rsid w:val="00790AF7"/>
    <w:rsid w:val="007B4473"/>
    <w:rsid w:val="00810A69"/>
    <w:rsid w:val="00897880"/>
    <w:rsid w:val="008A0530"/>
    <w:rsid w:val="008A27F3"/>
    <w:rsid w:val="008C7050"/>
    <w:rsid w:val="0098784F"/>
    <w:rsid w:val="009C501D"/>
    <w:rsid w:val="009C73C6"/>
    <w:rsid w:val="00A16C4D"/>
    <w:rsid w:val="00A41103"/>
    <w:rsid w:val="00A5418F"/>
    <w:rsid w:val="00A86897"/>
    <w:rsid w:val="00AD4693"/>
    <w:rsid w:val="00BD377C"/>
    <w:rsid w:val="00BF0F0D"/>
    <w:rsid w:val="00BF3D79"/>
    <w:rsid w:val="00BF70CE"/>
    <w:rsid w:val="00C21964"/>
    <w:rsid w:val="00C4123B"/>
    <w:rsid w:val="00CE2E48"/>
    <w:rsid w:val="00D503C3"/>
    <w:rsid w:val="00D5304D"/>
    <w:rsid w:val="00DB2747"/>
    <w:rsid w:val="00DC346E"/>
    <w:rsid w:val="00DF0970"/>
    <w:rsid w:val="00E80552"/>
    <w:rsid w:val="00E86E20"/>
    <w:rsid w:val="00F03325"/>
    <w:rsid w:val="00F0343A"/>
    <w:rsid w:val="00F37F46"/>
    <w:rsid w:val="00F44C9D"/>
    <w:rsid w:val="00F5487A"/>
    <w:rsid w:val="00F64066"/>
    <w:rsid w:val="00F73E3C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4FA"/>
  <w15:docId w15:val="{EC6D98B3-6156-4357-8C20-24E4713B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A16C4D"/>
  </w:style>
  <w:style w:type="character" w:customStyle="1" w:styleId="nowrap">
    <w:name w:val="nowrap"/>
    <w:basedOn w:val="Standardnpsmoodstavce"/>
    <w:rsid w:val="00A16C4D"/>
  </w:style>
  <w:style w:type="paragraph" w:styleId="Odstavecseseznamem">
    <w:name w:val="List Paragraph"/>
    <w:basedOn w:val="Normln"/>
    <w:uiPriority w:val="34"/>
    <w:qFormat/>
    <w:rsid w:val="005577EF"/>
    <w:pPr>
      <w:ind w:left="720"/>
      <w:contextualSpacing/>
    </w:pPr>
  </w:style>
  <w:style w:type="paragraph" w:customStyle="1" w:styleId="odrka10">
    <w:name w:val="odrážka 1)"/>
    <w:basedOn w:val="Odstavecseseznamem"/>
    <w:qFormat/>
    <w:rsid w:val="005577EF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"/>
    <w:basedOn w:val="Odstavecseseznamem"/>
    <w:qFormat/>
    <w:rsid w:val="005577EF"/>
    <w:pPr>
      <w:numPr>
        <w:numId w:val="4"/>
      </w:numPr>
      <w:spacing w:before="200" w:after="0" w:line="288" w:lineRule="auto"/>
      <w:ind w:left="714" w:hanging="357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2">
    <w:name w:val="odrážka 2"/>
    <w:basedOn w:val="Odstavecseseznamem"/>
    <w:qFormat/>
    <w:rsid w:val="005577EF"/>
    <w:pPr>
      <w:numPr>
        <w:numId w:val="6"/>
      </w:numPr>
      <w:spacing w:before="200" w:after="0" w:line="288" w:lineRule="auto"/>
      <w:ind w:left="1066" w:hanging="357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a">
    <w:name w:val="odrážka a)"/>
    <w:basedOn w:val="Odstavecseseznamem"/>
    <w:qFormat/>
    <w:rsid w:val="005577EF"/>
    <w:pPr>
      <w:numPr>
        <w:numId w:val="5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3">
    <w:name w:val="odrážka 3"/>
    <w:basedOn w:val="odrka2"/>
    <w:qFormat/>
    <w:rsid w:val="005577EF"/>
    <w:pPr>
      <w:numPr>
        <w:ilvl w:val="1"/>
      </w:numPr>
      <w:ind w:left="1786" w:hanging="357"/>
    </w:pPr>
  </w:style>
  <w:style w:type="character" w:styleId="Siln">
    <w:name w:val="Strong"/>
    <w:basedOn w:val="Standardnpsmoodstavce"/>
    <w:uiPriority w:val="22"/>
    <w:qFormat/>
    <w:rsid w:val="005577EF"/>
    <w:rPr>
      <w:b/>
      <w:bCs/>
    </w:rPr>
  </w:style>
  <w:style w:type="paragraph" w:customStyle="1" w:styleId="slovannadpisuvnitkapitoly">
    <w:name w:val="Číslovaný nadpis uvnitř kapitoly"/>
    <w:next w:val="Normln"/>
    <w:qFormat/>
    <w:rsid w:val="005577EF"/>
    <w:pPr>
      <w:keepNext/>
      <w:numPr>
        <w:numId w:val="7"/>
      </w:numPr>
      <w:spacing w:before="240" w:after="200" w:line="288" w:lineRule="auto"/>
      <w:ind w:left="357" w:hanging="357"/>
    </w:pPr>
    <w:rPr>
      <w:rFonts w:ascii="Arial" w:eastAsia="Times New Roman" w:hAnsi="Arial" w:cs="Times New Roman"/>
      <w:b/>
      <w:lang w:bidi="en-US"/>
    </w:rPr>
  </w:style>
  <w:style w:type="character" w:styleId="Hypertextovodkaz">
    <w:name w:val="Hyperlink"/>
    <w:basedOn w:val="Standardnpsmoodstavce"/>
    <w:uiPriority w:val="99"/>
    <w:unhideWhenUsed/>
    <w:rsid w:val="00036B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01D"/>
  </w:style>
  <w:style w:type="paragraph" w:styleId="Zpat">
    <w:name w:val="footer"/>
    <w:basedOn w:val="Normln"/>
    <w:link w:val="ZpatChar"/>
    <w:uiPriority w:val="99"/>
    <w:unhideWhenUsed/>
    <w:rsid w:val="009C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01D"/>
  </w:style>
  <w:style w:type="paragraph" w:styleId="Textbubliny">
    <w:name w:val="Balloon Text"/>
    <w:basedOn w:val="Normln"/>
    <w:link w:val="TextbublinyChar"/>
    <w:uiPriority w:val="99"/>
    <w:semiHidden/>
    <w:unhideWhenUsed/>
    <w:rsid w:val="000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1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E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chmelar-m@email.cz</dc:creator>
  <cp:lastModifiedBy>Krystková Andrea</cp:lastModifiedBy>
  <cp:revision>2</cp:revision>
  <dcterms:created xsi:type="dcterms:W3CDTF">2025-03-26T13:21:00Z</dcterms:created>
  <dcterms:modified xsi:type="dcterms:W3CDTF">2025-03-26T13:21:00Z</dcterms:modified>
</cp:coreProperties>
</file>